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C92E31" w:rsidRPr="00C92E31" w:rsidTr="00C92E31">
        <w:trPr>
          <w:tblCellSpacing w:w="15" w:type="dxa"/>
        </w:trPr>
        <w:tc>
          <w:tcPr>
            <w:tcW w:w="5000" w:type="pct"/>
            <w:shd w:val="clear" w:color="auto" w:fill="FFFFFF"/>
            <w:noWrap/>
            <w:vAlign w:val="center"/>
            <w:hideMark/>
          </w:tcPr>
          <w:p w:rsidR="00C92E31" w:rsidRPr="00C92E31" w:rsidRDefault="00C92E31" w:rsidP="00C92E3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1480   </w:t>
            </w:r>
            <w:bookmarkStart w:id="0" w:name="_GoBack"/>
            <w:bookmarkEnd w:id="0"/>
            <w:r w:rsidRPr="00C92E31">
              <w:rPr>
                <w:rFonts w:ascii="Arial" w:eastAsia="Times New Roman" w:hAnsi="Arial" w:cs="Arial"/>
                <w:b/>
                <w:bCs/>
                <w:color w:val="1A4A88"/>
                <w:sz w:val="24"/>
                <w:szCs w:val="24"/>
                <w:lang w:eastAsia="tr-TR"/>
              </w:rPr>
              <w:t>Denizbank ile İş Bankası Faiz Oranları Değişikliği</w:t>
            </w:r>
          </w:p>
        </w:tc>
        <w:tc>
          <w:tcPr>
            <w:tcW w:w="5000" w:type="pct"/>
            <w:shd w:val="clear" w:color="auto" w:fill="FFFFFF"/>
            <w:vAlign w:val="center"/>
            <w:hideMark/>
          </w:tcPr>
          <w:p w:rsidR="00C92E31" w:rsidRPr="00C92E31" w:rsidRDefault="00C92E31" w:rsidP="00C92E3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C92E31" w:rsidRPr="00C92E31" w:rsidRDefault="00C92E31" w:rsidP="00C92E3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92E31" w:rsidRPr="00C92E31" w:rsidRDefault="00C92E31" w:rsidP="00C92E31">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C92E31" w:rsidRPr="00C92E31" w:rsidTr="00C92E31">
        <w:trPr>
          <w:tblCellSpacing w:w="15" w:type="dxa"/>
        </w:trPr>
        <w:tc>
          <w:tcPr>
            <w:tcW w:w="0" w:type="auto"/>
            <w:shd w:val="clear" w:color="auto" w:fill="FFFFFF"/>
            <w:hideMark/>
          </w:tcPr>
          <w:p w:rsidR="00C92E31" w:rsidRPr="00C92E31" w:rsidRDefault="00C92E31" w:rsidP="00C92E31">
            <w:pPr>
              <w:spacing w:after="75"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Sayı: 2009 / 1480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xml:space="preserve">Bilindiği gibi, Esnaf ve </w:t>
            </w:r>
            <w:proofErr w:type="gramStart"/>
            <w:r w:rsidRPr="00C92E31">
              <w:rPr>
                <w:rFonts w:ascii="Arial" w:eastAsia="Times New Roman" w:hAnsi="Arial" w:cs="Arial"/>
                <w:color w:val="666666"/>
                <w:sz w:val="18"/>
                <w:szCs w:val="18"/>
                <w:lang w:eastAsia="tr-TR"/>
              </w:rPr>
              <w:t>Sanatkarlarımızın</w:t>
            </w:r>
            <w:proofErr w:type="gramEnd"/>
            <w:r w:rsidRPr="00C92E31">
              <w:rPr>
                <w:rFonts w:ascii="Arial" w:eastAsia="Times New Roman" w:hAnsi="Arial" w:cs="Arial"/>
                <w:color w:val="666666"/>
                <w:sz w:val="18"/>
                <w:szCs w:val="18"/>
                <w:lang w:eastAsia="tr-TR"/>
              </w:rPr>
              <w:t xml:space="preserve"> finans sorununu çözebilmek, yeni ve uygun kaynak alternatifleri yaratmak amacıyla; T. İş Bankası, Ziraat Bankası, Denizbank, Garanti Bankası, Akbank ve Finansbank ile Esnaf Kredisi Protokolleri imzalanmıştır.</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xml:space="preserve">İmzalanan bu protokollerde amaç, esnaf ve </w:t>
            </w:r>
            <w:proofErr w:type="gramStart"/>
            <w:r w:rsidRPr="00C92E31">
              <w:rPr>
                <w:rFonts w:ascii="Arial" w:eastAsia="Times New Roman" w:hAnsi="Arial" w:cs="Arial"/>
                <w:color w:val="666666"/>
                <w:sz w:val="18"/>
                <w:szCs w:val="18"/>
                <w:lang w:eastAsia="tr-TR"/>
              </w:rPr>
              <w:t>sanatkarlarımızın</w:t>
            </w:r>
            <w:proofErr w:type="gramEnd"/>
            <w:r w:rsidRPr="00C92E31">
              <w:rPr>
                <w:rFonts w:ascii="Arial" w:eastAsia="Times New Roman" w:hAnsi="Arial" w:cs="Arial"/>
                <w:color w:val="666666"/>
                <w:sz w:val="18"/>
                <w:szCs w:val="18"/>
                <w:lang w:eastAsia="tr-TR"/>
              </w:rPr>
              <w:t xml:space="preserve">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xml:space="preserve">Oda üyesi olma koşulunun da arandığı ve bankaların yapacağı istihbarat neticesinde verilen kredilerden faydalanmak isteyen esnaf ve </w:t>
            </w:r>
            <w:proofErr w:type="gramStart"/>
            <w:r w:rsidRPr="00C92E31">
              <w:rPr>
                <w:rFonts w:ascii="Arial" w:eastAsia="Times New Roman" w:hAnsi="Arial" w:cs="Arial"/>
                <w:color w:val="666666"/>
                <w:sz w:val="18"/>
                <w:szCs w:val="18"/>
                <w:lang w:eastAsia="tr-TR"/>
              </w:rPr>
              <w:t>sanatkarlarımız</w:t>
            </w:r>
            <w:proofErr w:type="gramEnd"/>
            <w:r w:rsidRPr="00C92E31">
              <w:rPr>
                <w:rFonts w:ascii="Arial" w:eastAsia="Times New Roman" w:hAnsi="Arial" w:cs="Arial"/>
                <w:color w:val="666666"/>
                <w:sz w:val="18"/>
                <w:szCs w:val="18"/>
                <w:lang w:eastAsia="tr-TR"/>
              </w:rPr>
              <w:t xml:space="preserve"> ilgili bankaların İzmir ili ve ilçelerindeki şubelerine başvurabilirler.</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b/>
                <w:bCs/>
                <w:color w:val="666666"/>
                <w:sz w:val="18"/>
                <w:szCs w:val="18"/>
                <w:lang w:eastAsia="tr-TR"/>
              </w:rPr>
              <w:t>Denizbank</w:t>
            </w:r>
            <w:r w:rsidRPr="00C92E31">
              <w:rPr>
                <w:rFonts w:ascii="Arial" w:eastAsia="Times New Roman" w:hAnsi="Arial" w:cs="Arial"/>
                <w:color w:val="666666"/>
                <w:sz w:val="18"/>
                <w:szCs w:val="18"/>
                <w:lang w:eastAsia="tr-TR"/>
              </w:rPr>
              <w:t> ve </w:t>
            </w:r>
            <w:r w:rsidRPr="00C92E31">
              <w:rPr>
                <w:rFonts w:ascii="Arial" w:eastAsia="Times New Roman" w:hAnsi="Arial" w:cs="Arial"/>
                <w:b/>
                <w:bCs/>
                <w:color w:val="666666"/>
                <w:sz w:val="18"/>
                <w:szCs w:val="18"/>
                <w:lang w:eastAsia="tr-TR"/>
              </w:rPr>
              <w:t>İş Bankası</w:t>
            </w:r>
            <w:r w:rsidRPr="00C92E31">
              <w:rPr>
                <w:rFonts w:ascii="Arial" w:eastAsia="Times New Roman" w:hAnsi="Arial" w:cs="Arial"/>
                <w:color w:val="666666"/>
                <w:sz w:val="18"/>
                <w:szCs w:val="18"/>
                <w:lang w:eastAsia="tr-TR"/>
              </w:rPr>
              <w:t>’ndan Birliğimize yapılan bildirim ile faiz oranlarının son şekli ekte takdim edilmiştir.</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Bilgilerinizi ve üyelerinize gerekli duyuruların yapılması hususunda gereğini rica ederiz.</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Özcan KILKIŞ                                                                                        Hilmi KURTOĞLU</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Genel Sekreter                                                                                          Başkan Vekili</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EKİ:  (1 sahife)</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tbl>
            <w:tblPr>
              <w:tblW w:w="9100" w:type="dxa"/>
              <w:tblCellMar>
                <w:left w:w="0" w:type="dxa"/>
                <w:right w:w="0" w:type="dxa"/>
              </w:tblCellMar>
              <w:tblLook w:val="04A0" w:firstRow="1" w:lastRow="0" w:firstColumn="1" w:lastColumn="0" w:noHBand="0" w:noVBand="1"/>
            </w:tblPr>
            <w:tblGrid>
              <w:gridCol w:w="1580"/>
              <w:gridCol w:w="1580"/>
              <w:gridCol w:w="1600"/>
              <w:gridCol w:w="2080"/>
              <w:gridCol w:w="2260"/>
            </w:tblGrid>
            <w:tr w:rsidR="00C92E31" w:rsidRPr="00C92E31">
              <w:trPr>
                <w:cantSplit/>
                <w:trHeight w:val="315"/>
              </w:trPr>
              <w:tc>
                <w:tcPr>
                  <w:tcW w:w="9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after="0" w:line="240" w:lineRule="auto"/>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DENİZBANK A.Ş. ESNAF KREDİSİ</w:t>
                  </w:r>
                </w:p>
              </w:tc>
            </w:tr>
            <w:tr w:rsidR="00C92E31" w:rsidRPr="00C92E31">
              <w:trPr>
                <w:trHeight w:val="94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KREDİ TUTARI (TL)</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VADE (AY)</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FAİZ ORANI  (%)</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AYLIK ÖDEME (TL)</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TOPLAM ÖDEME (TL)</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344</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1.032</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6</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177</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1,062</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9</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121</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1089</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93</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1,117</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18</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65</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1,174</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24</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51</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1,233</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36</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37</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1,356</w:t>
                  </w:r>
                </w:p>
              </w:tc>
            </w:tr>
          </w:tbl>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tbl>
            <w:tblPr>
              <w:tblW w:w="9100" w:type="dxa"/>
              <w:tblCellMar>
                <w:left w:w="0" w:type="dxa"/>
                <w:right w:w="0" w:type="dxa"/>
              </w:tblCellMar>
              <w:tblLook w:val="04A0" w:firstRow="1" w:lastRow="0" w:firstColumn="1" w:lastColumn="0" w:noHBand="0" w:noVBand="1"/>
            </w:tblPr>
            <w:tblGrid>
              <w:gridCol w:w="1580"/>
              <w:gridCol w:w="1580"/>
              <w:gridCol w:w="1600"/>
              <w:gridCol w:w="2080"/>
              <w:gridCol w:w="2260"/>
            </w:tblGrid>
            <w:tr w:rsidR="00C92E31" w:rsidRPr="00C92E31">
              <w:trPr>
                <w:trHeight w:val="315"/>
              </w:trPr>
              <w:tc>
                <w:tcPr>
                  <w:tcW w:w="9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after="0" w:line="240" w:lineRule="auto"/>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T. İŞ BANKASI A.Ş. ESNAF KREDİSİ</w:t>
                  </w:r>
                </w:p>
              </w:tc>
            </w:tr>
            <w:tr w:rsidR="00C92E31" w:rsidRPr="00C92E31">
              <w:trPr>
                <w:trHeight w:val="94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KREDİ TUTARI (TL)</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VADE (AY)</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FAİZ ORANI  (%)</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AYLIK ÖDEME (TL)</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TOPLAM ÖDEME (TL)</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6</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1,54</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176,23</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1.057,30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1,54</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92,35</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1.108,20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18</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1,64</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65,08</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1.171,40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24</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1,64</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51,22</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1.229,20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36</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1,69</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37,83</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1.361,80</w:t>
                  </w:r>
                </w:p>
              </w:tc>
            </w:tr>
          </w:tbl>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b/>
                <w:bCs/>
                <w:color w:val="666666"/>
                <w:sz w:val="18"/>
                <w:szCs w:val="18"/>
                <w:lang w:eastAsia="tr-TR"/>
              </w:rPr>
              <w:t xml:space="preserve">İş Bankası Maximum Kredi Kart sahibi oda üyesi esnaf ve </w:t>
            </w:r>
            <w:proofErr w:type="gramStart"/>
            <w:r w:rsidRPr="00C92E31">
              <w:rPr>
                <w:rFonts w:ascii="Arial" w:eastAsia="Times New Roman" w:hAnsi="Arial" w:cs="Arial"/>
                <w:b/>
                <w:bCs/>
                <w:color w:val="666666"/>
                <w:sz w:val="18"/>
                <w:szCs w:val="18"/>
                <w:lang w:eastAsia="tr-TR"/>
              </w:rPr>
              <w:t>sanatkarımız</w:t>
            </w:r>
            <w:proofErr w:type="gramEnd"/>
            <w:r w:rsidRPr="00C92E31">
              <w:rPr>
                <w:rFonts w:ascii="Arial" w:eastAsia="Times New Roman" w:hAnsi="Arial" w:cs="Arial"/>
                <w:b/>
                <w:bCs/>
                <w:color w:val="666666"/>
                <w:sz w:val="18"/>
                <w:szCs w:val="18"/>
                <w:lang w:eastAsia="tr-TR"/>
              </w:rPr>
              <w:t> </w:t>
            </w:r>
            <w:r w:rsidRPr="00C92E31">
              <w:rPr>
                <w:rFonts w:ascii="Arial" w:eastAsia="Times New Roman" w:hAnsi="Arial" w:cs="Arial"/>
                <w:b/>
                <w:bCs/>
                <w:color w:val="666666"/>
                <w:sz w:val="18"/>
                <w:szCs w:val="18"/>
                <w:u w:val="single"/>
                <w:lang w:eastAsia="tr-TR"/>
              </w:rPr>
              <w:t>30.10.2009</w:t>
            </w:r>
            <w:r w:rsidRPr="00C92E31">
              <w:rPr>
                <w:rFonts w:ascii="Arial" w:eastAsia="Times New Roman" w:hAnsi="Arial" w:cs="Arial"/>
                <w:b/>
                <w:bCs/>
                <w:color w:val="666666"/>
                <w:sz w:val="18"/>
                <w:szCs w:val="18"/>
                <w:lang w:eastAsia="tr-TR"/>
              </w:rPr>
              <w:t> tarihine kadar esnaf kredisi için başvurmaları durumunda aşağıda belirtilen faiz indirimlerinden yararlanacaklardır.</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lastRenderedPageBreak/>
              <w:t> </w:t>
            </w:r>
          </w:p>
          <w:tbl>
            <w:tblPr>
              <w:tblW w:w="9100" w:type="dxa"/>
              <w:tblCellMar>
                <w:left w:w="0" w:type="dxa"/>
                <w:right w:w="0" w:type="dxa"/>
              </w:tblCellMar>
              <w:tblLook w:val="04A0" w:firstRow="1" w:lastRow="0" w:firstColumn="1" w:lastColumn="0" w:noHBand="0" w:noVBand="1"/>
            </w:tblPr>
            <w:tblGrid>
              <w:gridCol w:w="1580"/>
              <w:gridCol w:w="1580"/>
              <w:gridCol w:w="1600"/>
              <w:gridCol w:w="2080"/>
              <w:gridCol w:w="2260"/>
            </w:tblGrid>
            <w:tr w:rsidR="00C92E31" w:rsidRPr="00C92E31">
              <w:trPr>
                <w:trHeight w:val="315"/>
              </w:trPr>
              <w:tc>
                <w:tcPr>
                  <w:tcW w:w="9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after="0" w:line="240" w:lineRule="auto"/>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T. İŞ BANKASI A.Ş. ESNAF KREDİSİ</w:t>
                  </w:r>
                </w:p>
              </w:tc>
            </w:tr>
            <w:tr w:rsidR="00C92E31" w:rsidRPr="00C92E31">
              <w:trPr>
                <w:trHeight w:val="94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KREDİ TUTARI (TL)</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VADE (AY)</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FAİZ ORANI  (%)</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AYLIK ÖDEME (TL)</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TOPLAM ÖDEME (TL)</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6</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1,51</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176,04</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1.056,20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1,51</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92,17</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1.106,00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18</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1,61</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64,9</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1.168,20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24</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1,61</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51,04</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1.224,90</w:t>
                  </w:r>
                </w:p>
              </w:tc>
            </w:tr>
            <w:tr w:rsidR="00C92E31" w:rsidRPr="00C92E31">
              <w:trPr>
                <w:trHeight w:val="31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1000</w:t>
                  </w:r>
                </w:p>
              </w:tc>
              <w:tc>
                <w:tcPr>
                  <w:tcW w:w="15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36</w:t>
                  </w:r>
                </w:p>
              </w:tc>
              <w:tc>
                <w:tcPr>
                  <w:tcW w:w="160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1,66</w:t>
                  </w:r>
                </w:p>
              </w:tc>
              <w:tc>
                <w:tcPr>
                  <w:tcW w:w="208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37,63</w:t>
                  </w:r>
                </w:p>
              </w:tc>
              <w:tc>
                <w:tcPr>
                  <w:tcW w:w="2260" w:type="dxa"/>
                  <w:tcBorders>
                    <w:top w:val="nil"/>
                    <w:left w:val="nil"/>
                    <w:bottom w:val="single" w:sz="4" w:space="0" w:color="auto"/>
                    <w:right w:val="single" w:sz="4" w:space="0" w:color="auto"/>
                  </w:tcBorders>
                  <w:shd w:val="clear" w:color="auto" w:fill="auto"/>
                  <w:vAlign w:val="center"/>
                  <w:hideMark/>
                </w:tcPr>
                <w:p w:rsidR="00C92E31" w:rsidRPr="00C92E31" w:rsidRDefault="00C92E31" w:rsidP="00C92E31">
                  <w:pPr>
                    <w:spacing w:before="100" w:beforeAutospacing="1" w:after="100" w:afterAutospacing="1" w:line="240" w:lineRule="auto"/>
                    <w:jc w:val="center"/>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1.354,60</w:t>
                  </w:r>
                </w:p>
              </w:tc>
            </w:tr>
          </w:tbl>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p w:rsidR="00C92E31" w:rsidRPr="00C92E31" w:rsidRDefault="00C92E31" w:rsidP="00C92E31">
            <w:pPr>
              <w:spacing w:after="0" w:line="240" w:lineRule="atLeast"/>
              <w:jc w:val="both"/>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NOT: Tablolarda 1000 TL anaparaya karşılık gelen aylık ve toplam ödeme tutarları görünmektedir. Alınan kredi meblağına göre ödeme tutarları tespit edilebilir.(Örneğin 3000 TL kredi için ödeme tutarları 3 ile çarpılmalıdır.)</w:t>
            </w:r>
          </w:p>
          <w:p w:rsidR="00C92E31" w:rsidRPr="00C92E31" w:rsidRDefault="00C92E31" w:rsidP="00C92E31">
            <w:pPr>
              <w:spacing w:after="0" w:line="240" w:lineRule="atLeast"/>
              <w:rPr>
                <w:rFonts w:ascii="Arial" w:eastAsia="Times New Roman" w:hAnsi="Arial" w:cs="Arial"/>
                <w:color w:val="666666"/>
                <w:sz w:val="18"/>
                <w:szCs w:val="18"/>
                <w:lang w:eastAsia="tr-TR"/>
              </w:rPr>
            </w:pPr>
            <w:r w:rsidRPr="00C92E31">
              <w:rPr>
                <w:rFonts w:ascii="Arial" w:eastAsia="Times New Roman" w:hAnsi="Arial" w:cs="Arial"/>
                <w:color w:val="666666"/>
                <w:sz w:val="18"/>
                <w:szCs w:val="18"/>
                <w:lang w:eastAsia="tr-TR"/>
              </w:rPr>
              <w:t> </w:t>
            </w:r>
          </w:p>
        </w:tc>
      </w:tr>
    </w:tbl>
    <w:p w:rsidR="00B060D4" w:rsidRDefault="00C92E31">
      <w:r w:rsidRPr="00C92E31">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31"/>
    <w:rsid w:val="00B060D4"/>
    <w:rsid w:val="00C92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2E31"/>
    <w:rPr>
      <w:b/>
      <w:bCs/>
    </w:rPr>
  </w:style>
  <w:style w:type="character" w:customStyle="1" w:styleId="apple-converted-space">
    <w:name w:val="apple-converted-space"/>
    <w:basedOn w:val="VarsaylanParagrafYazTipi"/>
    <w:rsid w:val="00C92E31"/>
  </w:style>
  <w:style w:type="paragraph" w:styleId="NormalWeb">
    <w:name w:val="Normal (Web)"/>
    <w:basedOn w:val="Normal"/>
    <w:uiPriority w:val="99"/>
    <w:unhideWhenUsed/>
    <w:rsid w:val="00C92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C92E31"/>
  </w:style>
  <w:style w:type="paragraph" w:styleId="BalonMetni">
    <w:name w:val="Balloon Text"/>
    <w:basedOn w:val="Normal"/>
    <w:link w:val="BalonMetniChar"/>
    <w:uiPriority w:val="99"/>
    <w:semiHidden/>
    <w:unhideWhenUsed/>
    <w:rsid w:val="00C92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2E31"/>
    <w:rPr>
      <w:b/>
      <w:bCs/>
    </w:rPr>
  </w:style>
  <w:style w:type="character" w:customStyle="1" w:styleId="apple-converted-space">
    <w:name w:val="apple-converted-space"/>
    <w:basedOn w:val="VarsaylanParagrafYazTipi"/>
    <w:rsid w:val="00C92E31"/>
  </w:style>
  <w:style w:type="paragraph" w:styleId="NormalWeb">
    <w:name w:val="Normal (Web)"/>
    <w:basedOn w:val="Normal"/>
    <w:uiPriority w:val="99"/>
    <w:unhideWhenUsed/>
    <w:rsid w:val="00C92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C92E31"/>
  </w:style>
  <w:style w:type="paragraph" w:styleId="BalonMetni">
    <w:name w:val="Balloon Text"/>
    <w:basedOn w:val="Normal"/>
    <w:link w:val="BalonMetniChar"/>
    <w:uiPriority w:val="99"/>
    <w:semiHidden/>
    <w:unhideWhenUsed/>
    <w:rsid w:val="00C92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3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35&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2013-09-05T07:54:00Z</dcterms:created>
  <dcterms:modified xsi:type="dcterms:W3CDTF">2013-09-05T07:54:00Z</dcterms:modified>
</cp:coreProperties>
</file>